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0F7861" w:rsidRDefault="009413BC" w:rsidP="00166A21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bookmarkStart w:id="0" w:name="RANGE!A1:F23"/>
      <w:bookmarkEnd w:id="0"/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Validación de la TABLA DE APLICABILIDAD de las obligaciones de transparencia comunes del</w:t>
      </w:r>
    </w:p>
    <w:p w:rsidR="009413BC" w:rsidRPr="000F7861" w:rsidRDefault="009413BC" w:rsidP="00166A21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Poder Ejecutivo</w:t>
      </w:r>
    </w:p>
    <w:p w:rsidR="009413BC" w:rsidRPr="000F7861" w:rsidRDefault="009413BC" w:rsidP="00166A21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F7861" w:rsidRDefault="009413BC" w:rsidP="00166A21">
      <w:pPr>
        <w:tabs>
          <w:tab w:val="left" w:pos="216"/>
        </w:tabs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  <w:r w:rsidRPr="000F786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>Dependencia o entidad</w:t>
      </w:r>
      <w:r w:rsidR="003E5C01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  <w:t xml:space="preserve">: </w:t>
      </w:r>
      <w:r w:rsidR="003E5C01" w:rsidRPr="00652ACC"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u w:val="single"/>
          <w:lang w:eastAsia="es-MX"/>
        </w:rPr>
        <w:t>Secretaría General de Gobierno</w:t>
      </w: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0F7861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9413BC" w:rsidRPr="000F7861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0F7861" w:rsidRDefault="009413BC" w:rsidP="00E60E9D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0F7861" w:rsidRDefault="009413BC" w:rsidP="00E60E9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9413BC" w:rsidRPr="000F7861" w:rsidTr="00E60E9D">
        <w:tc>
          <w:tcPr>
            <w:tcW w:w="5672" w:type="dxa"/>
          </w:tcPr>
          <w:p w:rsidR="009413BC" w:rsidRPr="000F7861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0F7861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0F7861" w:rsidRDefault="003E5C01" w:rsidP="003E5C01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x</w:t>
            </w:r>
          </w:p>
        </w:tc>
      </w:tr>
    </w:tbl>
    <w:p w:rsidR="009413BC" w:rsidRPr="000F7861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4"/>
          <w:lang w:eastAsia="es-MX"/>
        </w:rPr>
      </w:pPr>
    </w:p>
    <w:p w:rsidR="000F7861" w:rsidRPr="000F7861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381"/>
        <w:gridCol w:w="1155"/>
        <w:gridCol w:w="2552"/>
        <w:gridCol w:w="1417"/>
        <w:gridCol w:w="1559"/>
        <w:gridCol w:w="1701"/>
        <w:gridCol w:w="1275"/>
      </w:tblGrid>
      <w:tr w:rsidR="009413BC" w:rsidRPr="000F7861" w:rsidTr="00C0696F">
        <w:trPr>
          <w:trHeight w:val="907"/>
          <w:tblHeader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0F7861" w:rsidRDefault="009413BC" w:rsidP="00C544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0F7861" w:rsidRDefault="009413BC" w:rsidP="00C544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C544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C544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C544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C544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413B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C544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0F7861" w:rsidRDefault="009413BC" w:rsidP="00C544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9413BC" w:rsidRPr="00E95044" w:rsidTr="00C0696F">
        <w:trPr>
          <w:trHeight w:val="76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DF2BB3" w:rsidRDefault="009413BC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funciones u objeto social, según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corresponda, la información, por lo menos, de los temas, documentos y políticas que a continuación se señalan:</w:t>
            </w:r>
          </w:p>
          <w:p w:rsidR="009413BC" w:rsidRPr="00DF2BB3" w:rsidRDefault="009413BC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Default="009413BC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DF2BB3" w:rsidRDefault="009413BC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C64627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8A0F4F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Lo anterior al ser la instancia de consulta obligatoria en temas jurídicos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DF2BB3" w:rsidRDefault="00F61E53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73</w:t>
            </w:r>
            <w:r w:rsidR="008A0F4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del Reglamento Interno de la </w:t>
            </w:r>
            <w:r w:rsidR="00B926DD">
              <w:rPr>
                <w:rFonts w:eastAsia="Times New Roman" w:cs="Times New Roman"/>
                <w:sz w:val="18"/>
                <w:szCs w:val="18"/>
                <w:lang w:eastAsia="es-MX"/>
              </w:rPr>
              <w:t>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3E5C01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DF2BB3" w:rsidRDefault="008A0F4F" w:rsidP="008A0F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Subsecretaría Jurídica</w:t>
            </w:r>
            <w:r w:rsidR="0027586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Asuntos Religiosos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202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E5C01">
            <w:pPr>
              <w:jc w:val="center"/>
            </w:pPr>
            <w:r w:rsidRPr="004F4F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Derivado del Reglamento Interno, corresponde a la Dirección Administrativa, a</w:t>
            </w:r>
            <w:r w:rsidRPr="00C544BB">
              <w:rPr>
                <w:rFonts w:eastAsia="Times New Roman" w:cs="Times New Roman"/>
                <w:sz w:val="18"/>
                <w:szCs w:val="18"/>
                <w:lang w:eastAsia="es-MX"/>
              </w:rPr>
              <w:t>dministrar, gestionar y evaluar los programas y presupuestos y el capital humano, recursos materiales, tecnológicos, servicios de apoyo, contables y financieros de la Secretaría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29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51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E5C01">
            <w:pPr>
              <w:jc w:val="center"/>
            </w:pPr>
            <w:r w:rsidRPr="004F4F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Lo anterior al ser la instancia de consulta obligatoria en temas jurídicos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B926D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73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927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E5C01">
            <w:pPr>
              <w:jc w:val="center"/>
            </w:pPr>
            <w:r w:rsidRPr="004F4F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2305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Tiene a su cargo c</w:t>
            </w:r>
            <w:r w:rsidRPr="008F60EB">
              <w:rPr>
                <w:rFonts w:eastAsia="Times New Roman" w:cs="Times New Roman"/>
                <w:sz w:val="18"/>
                <w:szCs w:val="18"/>
                <w:lang w:eastAsia="es-MX"/>
              </w:rPr>
              <w:t>oordinar la elaboración y presentar el anteproyecto del Programa Operativo Anual, a la Secretaría de Finanzas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2305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29, fracción IX,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Subsecretaría Jurídica y Asuntos Religiosos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23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E5C01">
            <w:pPr>
              <w:jc w:val="center"/>
            </w:pPr>
            <w:r w:rsidRPr="004F4F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690BB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coordinación de Enlace Institucional tiene entre sus funciones apoyar al Secretario de Gobierno en los temas inherentes al Congreso del Estado, así como en los demás temas que </w:t>
            </w:r>
            <w:r w:rsidRPr="00690BB6">
              <w:rPr>
                <w:rFonts w:eastAsia="Times New Roman" w:cs="Times New Roman"/>
                <w:sz w:val="18"/>
                <w:szCs w:val="18"/>
                <w:lang w:eastAsia="es-MX"/>
              </w:rPr>
              <w:t>le señalen las demás disposiciones normativas aplicables y le confiera su superior jerárquico, en el ámbito de su competencia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84, fracciones II y XII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Enlace Institucional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Esta información es concentrada por la Lic. Alejandra Vela Aragón, adscrita a dicha Coordinación.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702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E5C01">
            <w:pPr>
              <w:jc w:val="center"/>
            </w:pPr>
            <w:r w:rsidRPr="004F4F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2D704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Tiene a su cargo registrar, controlar, evaluar, procesar y consolidar la información del POA en sus avances de cumplimiento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34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Control Presupuestal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24EE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5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E5C01">
            <w:pPr>
              <w:jc w:val="center"/>
            </w:pPr>
            <w:r w:rsidRPr="004F4F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7056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Tiene a su cargo la administración de los recursos humanos de la Secretaría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31, fracción I,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E7056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24EE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24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E5C01">
            <w:pPr>
              <w:jc w:val="center"/>
            </w:pPr>
            <w:r w:rsidRPr="004F4F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4877B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La Dirección Administrativa coordina y supervisa el pago de sueldos y prestaciones del personal de la Secretaría; el Departamento de Recursos Humanos tiene a su cargo la administración de los recursos humanos de la Secretaría; Por su parte el Departamento de Recursos Financieros realiza</w:t>
            </w:r>
            <w:r w:rsidRPr="00375CDC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las transferencias electrónicas de gastos de operación y nómina a las áreas administrativas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FC42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29 fracción II, 31, fracción I; 32, fracción II,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375C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-Dirección Administrativa; Departamento de Recursos Humanos; y 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Ambos Departamentos dependen de la 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6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E5C01">
            <w:pPr>
              <w:jc w:val="center"/>
            </w:pPr>
            <w:r w:rsidRPr="004F4F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Integra consolida y presenta los estados financieros de la Secretaría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2D704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32, fracción I del Reglamento Interno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36" w:rsidRPr="00375CDC" w:rsidRDefault="00621A36" w:rsidP="00375CDC">
            <w:pPr>
              <w:jc w:val="both"/>
              <w:rPr>
                <w:sz w:val="18"/>
                <w:szCs w:val="18"/>
              </w:rPr>
            </w:pPr>
            <w:r w:rsidRPr="00375CDC">
              <w:rPr>
                <w:sz w:val="18"/>
                <w:szCs w:val="18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A64BF6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1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E5C01">
            <w:pPr>
              <w:jc w:val="center"/>
            </w:pPr>
            <w:r w:rsidRPr="004F4F19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7B554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El Departamento de Recursos Humanos tiene a su cargo la administración de los recursos humanos de la Secretaría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7B554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31, fracción I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36" w:rsidRDefault="00621A36" w:rsidP="00C544BB">
            <w:pPr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27586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Depende de la </w:t>
            </w:r>
            <w:r w:rsidRPr="00A64BF6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3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FC42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El Departamento de Recursos Humanos tiene a su cargo la administración de los recursos humanos de la Secretaría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FC42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31, fracción I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36" w:rsidRDefault="00621A36" w:rsidP="00FC42C9">
            <w:pPr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Depende de la </w:t>
            </w:r>
            <w:r w:rsidRPr="00A64BF6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3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646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La Secretaría de la Contraloría y Transparencia Gubernamental es la Dependencia competente para la recepción y resguardo.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E5C01">
              <w:rPr>
                <w:rFonts w:eastAsia="Times New Roman" w:cs="Times New Roman"/>
                <w:sz w:val="18"/>
                <w:szCs w:val="18"/>
                <w:lang w:eastAsia="es-MX"/>
              </w:rPr>
              <w:t>Artículo 47, fracción XIV de la Ley Orgánica del Poder Ejecutivo del Estado, así como el diverso 44 de la Ley de Responsabilidades de los Servidores Públicos del Estado y Municipios de Oaxaca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la Contraloría y Transparencia Gubernamental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6462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9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Tiene a su cargo verificar que la información pública de oficio de la Secretaría se encuentre actualizada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88y 116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0B108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Enlace para la Transparencia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Coordinación de Enlace Institucional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70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3F5A1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13700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3F5A1A">
            <w:pPr>
              <w:spacing w:after="101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54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621A36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621A36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621A36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621A36" w:rsidRDefault="00621A36" w:rsidP="001370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La Secretaría no realiza programas  de esa naturaleza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621A36" w:rsidRDefault="00621A36" w:rsidP="00FC42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 34 de la Ley Orgánica del Poder Ejecutivo del Estado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02536B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8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B804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FC42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Secretaría de Administración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3F5A1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39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FC42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El Departamento de Recursos Humanos tiene a su cargo la administración de los recursos humanos de la Secretaría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FC42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31, fracción I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36" w:rsidRDefault="00621A36" w:rsidP="00FC42C9">
            <w:pPr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Depende de la </w:t>
            </w:r>
            <w:r w:rsidRPr="00A64BF6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7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2C578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la Contraloría y Transparencia Gubernamental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3F5A1A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82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6B6C6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Tiene a su cargo los servicios de s</w:t>
            </w:r>
            <w:r w:rsidRPr="006B6C6D">
              <w:rPr>
                <w:rFonts w:eastAsia="Times New Roman" w:cs="Times New Roman"/>
                <w:sz w:val="18"/>
                <w:szCs w:val="18"/>
                <w:lang w:eastAsia="es-MX"/>
              </w:rPr>
              <w:t>olicitud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es</w:t>
            </w:r>
            <w:r w:rsidRPr="006B6C6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Acceso a la Información Pública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; y </w:t>
            </w:r>
            <w:r w:rsidRPr="006B6C6D">
              <w:rPr>
                <w:rFonts w:eastAsia="Times New Roman" w:cs="Times New Roman"/>
                <w:sz w:val="18"/>
                <w:szCs w:val="18"/>
                <w:lang w:eastAsia="es-MX"/>
              </w:rPr>
              <w:t>Solicitud de Derechos de Acceso, Rectificación, Cancelación u Oposición de Datos Personales (ARCO)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6B6C6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6B6C6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 6° de la Constitución Política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 los Estados Unidos Mexicanos.</w:t>
            </w:r>
            <w:r w:rsidRPr="006B6C6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                                                                 Artículos 3° y 13 de la Constitución Política del Estado Libre y Soberano de Oaxaca;                                                          Ley de Transparencia y Acceso a la Información Pública para el Estado de </w:t>
            </w:r>
            <w:r w:rsidRPr="006B6C6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Oaxaca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BD412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Departamento de Enlace para la Transparencia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Coordinación de Enlace Institucional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6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F16162">
            <w:pPr>
              <w:jc w:val="center"/>
            </w:pPr>
            <w:r w:rsidRPr="007653D4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Default="00621A36" w:rsidP="00CD715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Los servicios que se brindan son los de Legalización de Documentos; </w:t>
            </w:r>
            <w:r w:rsidRPr="004C7CB7">
              <w:rPr>
                <w:rFonts w:eastAsia="Times New Roman" w:cs="Times New Roman"/>
                <w:sz w:val="18"/>
                <w:szCs w:val="18"/>
                <w:lang w:eastAsia="es-MX"/>
              </w:rPr>
              <w:t>Apostilla en documentos públicos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; Permisos para juegos populares sin cruce de apuestas; y Registrar y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credencializar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 las autoridades municipales y auxiliares electas</w:t>
            </w:r>
          </w:p>
          <w:p w:rsidR="00621A36" w:rsidRPr="00DF2BB3" w:rsidRDefault="00621A36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Artículos 43, 73, 76, 77 del Reglamento Interno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Default="00621A36" w:rsidP="004C7CB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1.- Dirección Jurídica</w:t>
            </w:r>
          </w:p>
          <w:p w:rsidR="00621A36" w:rsidRDefault="00621A36" w:rsidP="004C7CB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2.- Departamento de Legalizaciones, Apostillas y Registro de Firmas</w:t>
            </w:r>
          </w:p>
          <w:p w:rsidR="00621A36" w:rsidRDefault="00621A36" w:rsidP="004C7CB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3.- Departamento de Permisos, Expropiaciones y Trámites Administrativos </w:t>
            </w:r>
          </w:p>
          <w:p w:rsidR="00621A36" w:rsidRPr="00DF2BB3" w:rsidRDefault="00621A36" w:rsidP="004C7CB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4.- Departamento de Registro y Credencialización de Autoridades Municipales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 w:rsidP="004C7CB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Los Departamentos del 1 al 3 dependen de la Subsecretaría Jurídica y Asuntos Religiosos</w:t>
            </w:r>
          </w:p>
          <w:p w:rsidR="00621A36" w:rsidRDefault="00621A36" w:rsidP="004C7CB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El Departamento 4 depende de la  Subsecretaría de Gobierno y Desarrollo Político</w:t>
            </w:r>
          </w:p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5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F16162">
            <w:pPr>
              <w:jc w:val="center"/>
            </w:pPr>
            <w:r w:rsidRPr="007653D4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624F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Los Departamentos de Recursos Financieros y Contabilidad; y de Control Presupuestal tiene a su cargo la integración de esta información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624F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32 y 34,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624F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y Contabilidad; y de Control Presupuestal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FC42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Ambos Departamentos dependen de la 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9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621A36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A36" w:rsidRPr="00621A36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A36" w:rsidRPr="00621A36" w:rsidRDefault="00621A36" w:rsidP="0011177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De conformidad con su naturaleza jurídica y funciones está información la genera la Secretaría de Finanzas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621A36" w:rsidRDefault="00621A36" w:rsidP="0011177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Artículo 45 de la Ley Orgánica del Poder Ejecutivo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Secretaría de Finanzas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621A36" w:rsidRDefault="00621A36">
            <w:pPr>
              <w:rPr>
                <w:b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23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F16162">
            <w:pPr>
              <w:jc w:val="center"/>
            </w:pPr>
            <w:r w:rsidRPr="00C6035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37A3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 manera conjunta los departamentos convergen en la generación de esta información, pues uno realiza las transferencias de los gastos y otro proveer y controlar los recursos materiales y servicios básicos a las áreas administrativas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32 y 33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7C33A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y Contabilidad; y el  Departamento de Recursos Materiales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2B6A4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Dependen de la Dirección Administrativa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23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F16162">
            <w:pPr>
              <w:jc w:val="center"/>
            </w:pPr>
            <w:r w:rsidRPr="00C6035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9F4FF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Tiene a su cargo </w:t>
            </w:r>
            <w:r w:rsidRPr="009F4FFE">
              <w:rPr>
                <w:rFonts w:eastAsia="Times New Roman" w:cs="Times New Roman"/>
                <w:sz w:val="18"/>
                <w:szCs w:val="18"/>
                <w:lang w:eastAsia="es-MX"/>
              </w:rPr>
              <w:t>Integrar, consolidar y presentar ante su superior jerárquico, la información contable y los estados financieros de la Secretaría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9F4FF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32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9F4F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9F4FF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71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3F5A1A">
            <w:pPr>
              <w:jc w:val="center"/>
            </w:pPr>
            <w:r w:rsidRPr="00F04FB8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96657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la Contraloría y Transparencia Gubernamental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01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F16162">
            <w:pPr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621A36" w:rsidRPr="00FD0DBF" w:rsidRDefault="00621A36" w:rsidP="00807305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</w:t>
            </w:r>
            <w:r w:rsidRPr="00FD0DBF">
              <w:rPr>
                <w:rFonts w:eastAsia="Times New Roman" w:cs="Times New Roman"/>
                <w:sz w:val="18"/>
                <w:szCs w:val="18"/>
                <w:lang w:eastAsia="es-MX"/>
              </w:rPr>
              <w:t>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FD0DBF" w:rsidRDefault="00621A36" w:rsidP="00FD0DB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D0DBF">
              <w:rPr>
                <w:rFonts w:eastAsia="Times New Roman" w:cs="Times New Roman"/>
                <w:sz w:val="18"/>
                <w:szCs w:val="18"/>
                <w:lang w:eastAsia="es-MX"/>
              </w:rPr>
              <w:t>Tiene a su cargo Integrar, consolidar y presentar ante su superior jerárquico, la información contable y los estados financieros de la Secretaría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FD0DBF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D0DBF">
              <w:rPr>
                <w:rFonts w:eastAsia="Times New Roman" w:cs="Times New Roman"/>
                <w:sz w:val="18"/>
                <w:szCs w:val="18"/>
                <w:lang w:eastAsia="es-MX"/>
              </w:rPr>
              <w:t>Artículo 32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2B6A4F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621A36" w:rsidRPr="002B6A4F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1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F16162">
            <w:pPr>
              <w:jc w:val="center"/>
            </w:pPr>
            <w:r w:rsidRPr="00C6035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9155A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El Departamento de </w:t>
            </w:r>
            <w:r w:rsidRPr="0068386D">
              <w:rPr>
                <w:rFonts w:eastAsia="Times New Roman" w:cs="Times New Roman"/>
                <w:bCs/>
                <w:sz w:val="18"/>
                <w:szCs w:val="18"/>
                <w:lang w:eastAsia="es-MX"/>
              </w:rPr>
              <w:t>Permisos, Expropiaciones y Trámites Administrativos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Pr="009155AA">
              <w:rPr>
                <w:rFonts w:eastAsia="Times New Roman" w:cs="Times New Roman"/>
                <w:bCs/>
                <w:sz w:val="18"/>
                <w:szCs w:val="18"/>
                <w:lang w:eastAsia="es-MX"/>
              </w:rPr>
              <w:t>únicamente genera la información respecto a los permisos para actividades populares sin cruce de apuestas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77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</w:t>
            </w:r>
            <w:r w:rsidRPr="0068386D">
              <w:rPr>
                <w:rFonts w:eastAsia="Times New Roman" w:cs="Times New Roman"/>
                <w:bCs/>
                <w:sz w:val="18"/>
                <w:szCs w:val="18"/>
                <w:lang w:eastAsia="es-MX"/>
              </w:rPr>
              <w:t>Permisos, Expropiaciones y Trámites Administrativos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621A36" w:rsidRPr="0068386D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Subsecretaría Jurídica y Asuntos Religiosos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8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F16162">
            <w:pPr>
              <w:jc w:val="center"/>
            </w:pPr>
            <w:r w:rsidRPr="00C60357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AE764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Tiene a su cargo adquirir, proveer y controlar los recursos materiales y servicios básicos en compras directas a las áreas administrativas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33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AE764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Materiales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6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F16162">
            <w:pPr>
              <w:jc w:val="center"/>
            </w:pPr>
            <w:r w:rsidRPr="006D3F4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Default="00621A36" w:rsidP="002719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-La coordinación recaba la información para el informe del Secretario ante el H. Congreso del Estado</w:t>
            </w:r>
          </w:p>
          <w:p w:rsidR="00621A36" w:rsidRPr="00DF2BB3" w:rsidRDefault="00621A36" w:rsidP="002719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-Se genera por esta área los informes semestrales y anuales a que se refiere la normatividad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en la materia de transparencia.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Artículos 84, fracción V; 88, 116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-Coordinación de Enlace Institucional</w:t>
            </w:r>
          </w:p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-Departamento de Enlace para la Transparencia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9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F16162">
            <w:pPr>
              <w:jc w:val="center"/>
            </w:pPr>
            <w:r w:rsidRPr="006D3F4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844F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Tiene a su cargo </w:t>
            </w:r>
            <w:r w:rsidRPr="00844FF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organizar e integrar la información estadística y coordinar proyectos de generación y/o de integración de información estadística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844F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18 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844FFF" w:rsidRDefault="00621A36" w:rsidP="00844F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44FF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</w:t>
            </w:r>
            <w:r w:rsidRPr="00844FF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 Control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</w:t>
            </w:r>
            <w:r w:rsidRPr="00844FF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 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l</w:t>
            </w:r>
            <w:r w:rsidRPr="00844FFF">
              <w:rPr>
                <w:rFonts w:eastAsia="Times New Roman" w:cs="Times New Roman"/>
                <w:sz w:val="18"/>
                <w:szCs w:val="18"/>
                <w:lang w:eastAsia="es-MX"/>
              </w:rPr>
              <w:t>a Gestión</w:t>
            </w:r>
          </w:p>
          <w:p w:rsidR="00621A36" w:rsidRPr="00844FFF" w:rsidRDefault="00621A36" w:rsidP="00844F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69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F16162">
            <w:pPr>
              <w:jc w:val="center"/>
            </w:pPr>
            <w:r w:rsidRPr="006D3F4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3A6E6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6E6E">
              <w:rPr>
                <w:rFonts w:eastAsia="Times New Roman" w:cs="Times New Roman"/>
                <w:sz w:val="18"/>
                <w:szCs w:val="18"/>
                <w:lang w:eastAsia="es-MX"/>
              </w:rPr>
              <w:t>Administrar, gestionar y evaluar los programas y presupuestos y el capital humano, recursos materiales, tecnológicos, servicios de apoyo, contables y financieros de la Secretaría;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29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5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A36" w:rsidRDefault="00621A36" w:rsidP="00F16162">
            <w:pPr>
              <w:jc w:val="center"/>
            </w:pPr>
            <w:r w:rsidRPr="006D3F4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6E6E">
              <w:rPr>
                <w:rFonts w:eastAsia="Times New Roman" w:cs="Times New Roman"/>
                <w:sz w:val="18"/>
                <w:szCs w:val="18"/>
                <w:lang w:eastAsia="es-MX"/>
              </w:rPr>
              <w:t>Administrar, gestionar y evaluar los programas y presupuestos y el capital humano, recursos materiales, tecnológicos, servicios de apoyo, contables y financieros de la Secretaría;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29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7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C0696F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0696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C0696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C0696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C0696F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C0696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C0696F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Pr="00C0696F" w:rsidRDefault="00621A36" w:rsidP="00F16162">
            <w:pPr>
              <w:jc w:val="center"/>
            </w:pPr>
            <w:r w:rsidRPr="00C0696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C0696F" w:rsidRDefault="00621A36" w:rsidP="00C0696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0696F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Tiene a su cargo registrar y controlar los convenios y demás documentos que emitan las áreas administrativas y que suscriba el Secretario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11, fracción IV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0696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Secretario Particular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79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F16162">
            <w:pPr>
              <w:jc w:val="center"/>
            </w:pPr>
            <w:r w:rsidRPr="00A7088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77494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A6E6E">
              <w:rPr>
                <w:rFonts w:eastAsia="Times New Roman" w:cs="Times New Roman"/>
                <w:sz w:val="18"/>
                <w:szCs w:val="18"/>
                <w:lang w:eastAsia="es-MX"/>
              </w:rPr>
              <w:t>Administrar, gestionar recursos materiales, tecnológicos, servicios de apoyo, contables y financieros;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así como lo relativo a muebles e inmuebles</w:t>
            </w:r>
            <w:r w:rsidRPr="003A6E6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la Secretaría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29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06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F16162">
            <w:pPr>
              <w:jc w:val="center"/>
            </w:pPr>
            <w:r w:rsidRPr="00A7088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3798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Tiene la facultad de realizar la defensa jurídica de la Secretaría en todo juicio, proceso o procedimiento en que sea parte o ante cualquier autoridad; de igual forma da</w:t>
            </w:r>
            <w:r w:rsidRPr="00E3798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seguimiento a las quejas y recomendaciones formuladas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E3798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por la Defensoría de los Derechos Humanos del Pueblo de Oaxaca o la Comisión Nacional de Derechos Humanos, así como, atender los </w:t>
            </w:r>
            <w:r w:rsidRPr="00E3798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requerimientos de la Coordinación para la Atención de los Derechos Humanos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Artículo 71, fracción I y XV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Subsecretaría Jurídica y Asuntos Religiosos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32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F16162">
            <w:pPr>
              <w:jc w:val="center"/>
            </w:pPr>
            <w:r w:rsidRPr="00A7088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5454C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Tiene la facultad de realizar la defensa jurídica de la Secretaría en todo juicio, proceso o procedimiento en que sea parte o ante cualquier autoridad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5454C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71, fracción I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Subsecretaría Jurídica y Asuntos Religiosos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6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6145C0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6145C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6145C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D6D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D6D9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CD6D9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Coordinación y Vinculación Interinstitucional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6145C0" w:rsidRDefault="00621A36" w:rsidP="0002536B">
            <w:pPr>
              <w:spacing w:after="80"/>
              <w:ind w:right="48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23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F16162">
            <w:pPr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621A36" w:rsidRDefault="00621A36" w:rsidP="003F5A1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7E23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AD7F7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3F5A1A">
            <w:pPr>
              <w:spacing w:after="101"/>
              <w:ind w:right="48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En este apartado los Sujetos obligados publicaran </w:t>
            </w:r>
            <w:r w:rsidRPr="004D16DF">
              <w:rPr>
                <w:rFonts w:ascii="Candara" w:hAnsi="Candara" w:cs="Arial"/>
                <w:sz w:val="16"/>
                <w:szCs w:val="16"/>
              </w:rPr>
              <w:t>publicarán la información de todos los programas distintos a los programas sociales que están publicitados en el artículo 70, fracción XV de la Ley General (programas de subsidios, estímulos y apoyos, programas de transferencia, de servicios, de infraestructura social).</w:t>
            </w:r>
            <w:r>
              <w:rPr>
                <w:rFonts w:ascii="Candara" w:hAnsi="Candara" w:cs="Arial"/>
                <w:sz w:val="16"/>
                <w:szCs w:val="16"/>
              </w:rPr>
              <w:t xml:space="preserve"> En términos de los Lineamientos Técnicos Generales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7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F16162">
            <w:pPr>
              <w:jc w:val="center"/>
            </w:pPr>
            <w:r w:rsidRPr="007E231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13485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Tiene a su cargo c</w:t>
            </w:r>
            <w:r w:rsidRPr="00CE3C57">
              <w:rPr>
                <w:rFonts w:eastAsia="Times New Roman" w:cs="Times New Roman"/>
                <w:sz w:val="18"/>
                <w:szCs w:val="18"/>
                <w:lang w:eastAsia="es-MX"/>
              </w:rPr>
              <w:t>umplir con los lineamientos, mecanismos, procedimientos, criterios y políticas en materia de transparencia y acceso a la información pública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D309E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88 y 116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Enlace para la Transparencia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Depende de la Coordinación de Enlace Institucional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9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F5A1A">
            <w:pPr>
              <w:jc w:val="center"/>
            </w:pPr>
            <w:r w:rsidRPr="001162A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495E2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3F5A1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4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F5A1A">
            <w:pPr>
              <w:jc w:val="center"/>
            </w:pPr>
            <w:r w:rsidRPr="001162A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495E2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3F5A1A">
            <w:pPr>
              <w:spacing w:after="101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46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3F5A1A">
            <w:pPr>
              <w:jc w:val="center"/>
            </w:pPr>
            <w:r w:rsidRPr="001162A5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495E2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Corresponde a la Secretaría de Administración e</w:t>
            </w:r>
            <w:r w:rsidRPr="00495E25">
              <w:rPr>
                <w:rFonts w:eastAsia="Times New Roman" w:cs="Times New Roman"/>
                <w:sz w:val="18"/>
                <w:szCs w:val="18"/>
                <w:lang w:eastAsia="es-MX"/>
              </w:rPr>
              <w:t>xpedir los nombramientos y tramitar las remociones, renuncias, licencias y jubilaciones de los trabajadores de la Administración Pública Estatal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, en consecuencia llevar un registro de los jubilados y pensionados.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46 de la Ley Orgánica del Poder Ejecutivo del Estado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Finanzas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23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1A36" w:rsidRDefault="00621A36" w:rsidP="003F5A1A">
            <w:pPr>
              <w:jc w:val="center"/>
            </w:pPr>
            <w:r w:rsidRPr="001162A5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0B2FF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Corresponde a la Secretaría de Finanzas r</w:t>
            </w:r>
            <w:r w:rsidRPr="000B2FF1">
              <w:rPr>
                <w:rFonts w:eastAsia="Times New Roman" w:cs="Times New Roman"/>
                <w:sz w:val="18"/>
                <w:szCs w:val="18"/>
                <w:lang w:eastAsia="es-MX"/>
              </w:rPr>
              <w:t>ecaudar los impuestos, derechos, productos, contribuciones de mejoras y aprovechamientos, así como hacer cumplir las disposiciones fiscales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0B2FF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45 de la Ley Orgánica del Poder Ejecutivo del Estado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Secretaría de Finanzas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3F5A1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DC6A8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D90DD4">
            <w:pPr>
              <w:spacing w:after="101"/>
              <w:ind w:right="48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4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Default="00621A36" w:rsidP="00F16162">
            <w:pPr>
              <w:jc w:val="center"/>
            </w:pPr>
            <w:r w:rsidRPr="001F6ADF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9F368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F3684">
              <w:rPr>
                <w:rFonts w:eastAsia="Times New Roman" w:cs="Times New Roman"/>
                <w:sz w:val="18"/>
                <w:szCs w:val="18"/>
                <w:lang w:eastAsia="es-MX"/>
              </w:rPr>
              <w:t>XIII.</w:t>
            </w:r>
            <w:r w:rsidRPr="009F3684">
              <w:rPr>
                <w:rFonts w:eastAsia="Times New Roman" w:cs="Times New Roman"/>
                <w:sz w:val="18"/>
                <w:szCs w:val="18"/>
                <w:lang w:eastAsia="es-MX"/>
              </w:rPr>
              <w:tab/>
              <w:t>Ser el responsable de la integración, organización, funcionamiento, concentración, conservación y difusión del archivo de la Secretaría en coordinación con las áreas administrativas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 29, fracción XIII del Reglamento Interno SEGEGO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90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621A36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36" w:rsidRPr="00621A36" w:rsidRDefault="00621A36" w:rsidP="00F1616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621A36" w:rsidRPr="00621A36" w:rsidRDefault="00621A36" w:rsidP="00F16162">
            <w:pPr>
              <w:jc w:val="center"/>
              <w:rPr>
                <w:b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621A36" w:rsidRDefault="00621A36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La Secretaría no cuenta con Consejo Consultivo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 34 de la Ley Orgánica del Poder Ejecutivo del Estado; Reglamento Interno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3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621A36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621A36">
              <w:rPr>
                <w:rFonts w:eastAsia="Times New Roman" w:cs="Arial"/>
                <w:b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621A36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621A36" w:rsidRDefault="00621A36" w:rsidP="004809B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 está dentro de sus facultades el solicitar este tipo de solicitudes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621A36" w:rsidRDefault="00621A36" w:rsidP="00CC2B8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621A3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 34 de la Ley Orgánica del Poder Ejecutivo del Estado; Reglamento Interno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3F5A1A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621A36" w:rsidRPr="00E95044" w:rsidTr="005A6F9A">
        <w:trPr>
          <w:trHeight w:val="123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1E546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Publicación de las respuestas a las solicitudes de información más frecuentes, u otra información que sea generada por las diversas áreas administrativas de la SEGEGO y que requieran sea publicada para su difusión.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Artículos 88 y 116 del Reglamento Interno de la SEGEGO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Departamento de Enlace para la Transparencia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Pr="00DF2BB3" w:rsidRDefault="00621A36" w:rsidP="00C544B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6" w:rsidRDefault="00621A36">
            <w:r w:rsidRPr="0042467C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F01D42" w:rsidRDefault="00F01D42" w:rsidP="006C5BD9">
      <w:pPr>
        <w:jc w:val="both"/>
        <w:rPr>
          <w:rFonts w:ascii="Calibri" w:eastAsia="Calibri" w:hAnsi="Calibri" w:cs="Times New Roman"/>
        </w:rPr>
      </w:pPr>
    </w:p>
    <w:p w:rsidR="006C5BD9" w:rsidRDefault="006C5BD9" w:rsidP="006C5BD9">
      <w:pPr>
        <w:jc w:val="both"/>
      </w:pPr>
      <w:bookmarkStart w:id="1" w:name="_GoBack"/>
      <w:bookmarkEnd w:id="1"/>
      <w:r>
        <w:rPr>
          <w:rFonts w:ascii="Calibri" w:eastAsia="Calibri" w:hAnsi="Calibri" w:cs="Times New Roman"/>
        </w:rPr>
        <w:t>La validación de la  presente  tabla de</w:t>
      </w:r>
      <w:r>
        <w:t xml:space="preserve"> aplicabilidad</w:t>
      </w:r>
      <w:r>
        <w:rPr>
          <w:rFonts w:ascii="Calibri" w:eastAsia="Calibri" w:hAnsi="Calibri" w:cs="Times New Roman"/>
        </w:rPr>
        <w:t xml:space="preserve"> es susceptible de ser modificada cuando lo considere viable este Órgano Garante con base a la normatividad en la materia. </w:t>
      </w:r>
    </w:p>
    <w:p w:rsidR="006C5BD9" w:rsidRDefault="006C5BD9" w:rsidP="006C5BD9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quince de julio de dos mil dieciséis.</w:t>
      </w:r>
    </w:p>
    <w:p w:rsidR="0086030A" w:rsidRDefault="0086030A" w:rsidP="0086030A">
      <w:pPr>
        <w:rPr>
          <w:b/>
          <w:sz w:val="18"/>
          <w:szCs w:val="18"/>
        </w:rPr>
      </w:pPr>
    </w:p>
    <w:sectPr w:rsidR="0086030A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E5" w:rsidRDefault="00D55EE5" w:rsidP="003F5A1A">
      <w:pPr>
        <w:spacing w:after="0" w:line="240" w:lineRule="auto"/>
      </w:pPr>
      <w:r>
        <w:separator/>
      </w:r>
    </w:p>
  </w:endnote>
  <w:endnote w:type="continuationSeparator" w:id="0">
    <w:p w:rsidR="00D55EE5" w:rsidRDefault="00D55EE5" w:rsidP="003F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E5" w:rsidRDefault="00D55EE5" w:rsidP="003F5A1A">
      <w:pPr>
        <w:spacing w:after="0" w:line="240" w:lineRule="auto"/>
      </w:pPr>
      <w:r>
        <w:separator/>
      </w:r>
    </w:p>
  </w:footnote>
  <w:footnote w:type="continuationSeparator" w:id="0">
    <w:p w:rsidR="00D55EE5" w:rsidRDefault="00D55EE5" w:rsidP="003F5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04"/>
    <w:rsid w:val="0002536B"/>
    <w:rsid w:val="0002576D"/>
    <w:rsid w:val="00026706"/>
    <w:rsid w:val="00040E3E"/>
    <w:rsid w:val="000475C1"/>
    <w:rsid w:val="000B108E"/>
    <w:rsid w:val="000B2FF1"/>
    <w:rsid w:val="000C20BA"/>
    <w:rsid w:val="000E0289"/>
    <w:rsid w:val="000F7861"/>
    <w:rsid w:val="0011177F"/>
    <w:rsid w:val="00126BBD"/>
    <w:rsid w:val="00126D56"/>
    <w:rsid w:val="00134859"/>
    <w:rsid w:val="0013700E"/>
    <w:rsid w:val="001552C6"/>
    <w:rsid w:val="00166A21"/>
    <w:rsid w:val="001B1A08"/>
    <w:rsid w:val="001B34AE"/>
    <w:rsid w:val="001D04D9"/>
    <w:rsid w:val="001E546B"/>
    <w:rsid w:val="0023059E"/>
    <w:rsid w:val="00236966"/>
    <w:rsid w:val="00251753"/>
    <w:rsid w:val="00271905"/>
    <w:rsid w:val="0027448D"/>
    <w:rsid w:val="0027586E"/>
    <w:rsid w:val="00282D51"/>
    <w:rsid w:val="002B6A4F"/>
    <w:rsid w:val="002C5785"/>
    <w:rsid w:val="002D7040"/>
    <w:rsid w:val="002F0106"/>
    <w:rsid w:val="002F34FF"/>
    <w:rsid w:val="00350FA1"/>
    <w:rsid w:val="00351FC7"/>
    <w:rsid w:val="0035573C"/>
    <w:rsid w:val="00375CDC"/>
    <w:rsid w:val="00377319"/>
    <w:rsid w:val="00382DC9"/>
    <w:rsid w:val="003909AD"/>
    <w:rsid w:val="003A0525"/>
    <w:rsid w:val="003A6E6E"/>
    <w:rsid w:val="003B4611"/>
    <w:rsid w:val="003E5C01"/>
    <w:rsid w:val="003F41C3"/>
    <w:rsid w:val="003F5A1A"/>
    <w:rsid w:val="00422CE3"/>
    <w:rsid w:val="004235DB"/>
    <w:rsid w:val="00446C50"/>
    <w:rsid w:val="004809B1"/>
    <w:rsid w:val="004877B4"/>
    <w:rsid w:val="00495E25"/>
    <w:rsid w:val="004B0F9E"/>
    <w:rsid w:val="004B1131"/>
    <w:rsid w:val="004C7CB7"/>
    <w:rsid w:val="005038C7"/>
    <w:rsid w:val="00513208"/>
    <w:rsid w:val="005454C5"/>
    <w:rsid w:val="0055650E"/>
    <w:rsid w:val="00586D04"/>
    <w:rsid w:val="00593775"/>
    <w:rsid w:val="005C58BF"/>
    <w:rsid w:val="005D11BE"/>
    <w:rsid w:val="005D2144"/>
    <w:rsid w:val="005D7BB6"/>
    <w:rsid w:val="006145C0"/>
    <w:rsid w:val="00620E8D"/>
    <w:rsid w:val="00621A36"/>
    <w:rsid w:val="00624F9C"/>
    <w:rsid w:val="00641A8C"/>
    <w:rsid w:val="00651C0A"/>
    <w:rsid w:val="00652ACC"/>
    <w:rsid w:val="006571CF"/>
    <w:rsid w:val="00657231"/>
    <w:rsid w:val="0068386D"/>
    <w:rsid w:val="00690BB6"/>
    <w:rsid w:val="006939A1"/>
    <w:rsid w:val="006B6C6D"/>
    <w:rsid w:val="006C5BD9"/>
    <w:rsid w:val="006F2E6F"/>
    <w:rsid w:val="00702CC2"/>
    <w:rsid w:val="0075042E"/>
    <w:rsid w:val="007579FF"/>
    <w:rsid w:val="00772D90"/>
    <w:rsid w:val="00774944"/>
    <w:rsid w:val="007B5543"/>
    <w:rsid w:val="007C33A7"/>
    <w:rsid w:val="007D27E9"/>
    <w:rsid w:val="00807305"/>
    <w:rsid w:val="00827D6D"/>
    <w:rsid w:val="008375A5"/>
    <w:rsid w:val="00841BE1"/>
    <w:rsid w:val="00844FFF"/>
    <w:rsid w:val="0086030A"/>
    <w:rsid w:val="00890914"/>
    <w:rsid w:val="008A0F4F"/>
    <w:rsid w:val="008F1230"/>
    <w:rsid w:val="008F4021"/>
    <w:rsid w:val="008F60EB"/>
    <w:rsid w:val="009155AA"/>
    <w:rsid w:val="009310FB"/>
    <w:rsid w:val="009413BC"/>
    <w:rsid w:val="0096657E"/>
    <w:rsid w:val="009F3684"/>
    <w:rsid w:val="009F4FFE"/>
    <w:rsid w:val="00A511E7"/>
    <w:rsid w:val="00A83078"/>
    <w:rsid w:val="00AA0D16"/>
    <w:rsid w:val="00AA1034"/>
    <w:rsid w:val="00AD39DD"/>
    <w:rsid w:val="00AD74BD"/>
    <w:rsid w:val="00AD7F75"/>
    <w:rsid w:val="00AE7645"/>
    <w:rsid w:val="00B306A1"/>
    <w:rsid w:val="00B804E4"/>
    <w:rsid w:val="00B926DD"/>
    <w:rsid w:val="00BD3B6B"/>
    <w:rsid w:val="00BD4122"/>
    <w:rsid w:val="00BF4DF4"/>
    <w:rsid w:val="00C0301B"/>
    <w:rsid w:val="00C0696F"/>
    <w:rsid w:val="00C237BC"/>
    <w:rsid w:val="00C24EE1"/>
    <w:rsid w:val="00C37A38"/>
    <w:rsid w:val="00C544BB"/>
    <w:rsid w:val="00C64627"/>
    <w:rsid w:val="00C75510"/>
    <w:rsid w:val="00C906C9"/>
    <w:rsid w:val="00CD6D9E"/>
    <w:rsid w:val="00CD715D"/>
    <w:rsid w:val="00CE3C57"/>
    <w:rsid w:val="00D22D5E"/>
    <w:rsid w:val="00D309EA"/>
    <w:rsid w:val="00D43393"/>
    <w:rsid w:val="00D55EE5"/>
    <w:rsid w:val="00D57C56"/>
    <w:rsid w:val="00D90DD4"/>
    <w:rsid w:val="00D94689"/>
    <w:rsid w:val="00DC6A8F"/>
    <w:rsid w:val="00DD01A7"/>
    <w:rsid w:val="00DD4B94"/>
    <w:rsid w:val="00DD7BF1"/>
    <w:rsid w:val="00DE2A64"/>
    <w:rsid w:val="00DE6EEB"/>
    <w:rsid w:val="00DF257E"/>
    <w:rsid w:val="00DF2BB3"/>
    <w:rsid w:val="00E1335B"/>
    <w:rsid w:val="00E30B33"/>
    <w:rsid w:val="00E31D84"/>
    <w:rsid w:val="00E3798B"/>
    <w:rsid w:val="00E4237F"/>
    <w:rsid w:val="00E7056F"/>
    <w:rsid w:val="00E774C4"/>
    <w:rsid w:val="00EB72B7"/>
    <w:rsid w:val="00ED5FE1"/>
    <w:rsid w:val="00EE3376"/>
    <w:rsid w:val="00EF1F0E"/>
    <w:rsid w:val="00EF5798"/>
    <w:rsid w:val="00F01D42"/>
    <w:rsid w:val="00F04FB8"/>
    <w:rsid w:val="00F16162"/>
    <w:rsid w:val="00F53A72"/>
    <w:rsid w:val="00F61E53"/>
    <w:rsid w:val="00F722EF"/>
    <w:rsid w:val="00FB6BBB"/>
    <w:rsid w:val="00FD0DBF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86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83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notaalpie">
    <w:name w:val="footnote reference"/>
    <w:uiPriority w:val="99"/>
    <w:semiHidden/>
    <w:unhideWhenUsed/>
    <w:rsid w:val="003F5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86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838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3574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42</cp:revision>
  <cp:lastPrinted>2016-06-15T20:47:00Z</cp:lastPrinted>
  <dcterms:created xsi:type="dcterms:W3CDTF">2016-06-16T00:07:00Z</dcterms:created>
  <dcterms:modified xsi:type="dcterms:W3CDTF">2016-09-20T16:32:00Z</dcterms:modified>
</cp:coreProperties>
</file>